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rPr>
        <w:t>无锡市第二人民医院</w:t>
      </w:r>
      <w:r>
        <w:rPr>
          <w:rFonts w:hint="eastAsia" w:ascii="微软雅黑" w:hAnsi="微软雅黑" w:eastAsia="微软雅黑" w:cs="微软雅黑"/>
          <w:b w:val="0"/>
          <w:bCs/>
          <w:sz w:val="30"/>
          <w:szCs w:val="30"/>
          <w:lang w:val="en-US" w:eastAsia="zh-CN"/>
        </w:rPr>
        <w:t>机房设备运维服务</w:t>
      </w:r>
      <w:r>
        <w:rPr>
          <w:rFonts w:hint="eastAsia" w:ascii="微软雅黑" w:hAnsi="微软雅黑" w:eastAsia="微软雅黑" w:cs="微软雅黑"/>
          <w:sz w:val="30"/>
          <w:szCs w:val="30"/>
          <w:lang w:val="en-US" w:eastAsia="zh-CN"/>
        </w:rPr>
        <w:t>采购项目附件</w:t>
      </w:r>
    </w:p>
    <w:p>
      <w:pPr>
        <w:rPr>
          <w:sz w:val="31"/>
          <w:szCs w:val="31"/>
        </w:rPr>
      </w:pPr>
    </w:p>
    <w:p>
      <w:pPr>
        <w:rPr>
          <w:rFonts w:hint="default" w:eastAsiaTheme="minorEastAsia"/>
          <w:sz w:val="31"/>
          <w:szCs w:val="31"/>
          <w:lang w:val="en-US" w:eastAsia="zh-CN"/>
        </w:rPr>
      </w:pPr>
      <w:r>
        <w:rPr>
          <w:rFonts w:hint="eastAsia"/>
          <w:sz w:val="31"/>
          <w:szCs w:val="31"/>
        </w:rPr>
        <w:t>一、</w:t>
      </w:r>
      <w:r>
        <w:rPr>
          <w:rFonts w:hint="eastAsia"/>
          <w:sz w:val="31"/>
          <w:szCs w:val="31"/>
          <w:lang w:val="en-US" w:eastAsia="zh-CN"/>
        </w:rPr>
        <w:t>机房设备清单</w:t>
      </w:r>
    </w:p>
    <w:tbl>
      <w:tblPr>
        <w:tblStyle w:val="6"/>
        <w:tblW w:w="8983"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33"/>
        <w:gridCol w:w="4617"/>
        <w:gridCol w:w="273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序号</w:t>
            </w:r>
          </w:p>
        </w:tc>
        <w:tc>
          <w:tcPr>
            <w:tcW w:w="4617"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设备名称</w:t>
            </w:r>
          </w:p>
        </w:tc>
        <w:tc>
          <w:tcPr>
            <w:tcW w:w="273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设备型号</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综合楼机房 APC UPS</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SY48K48H-PD（48KVA）</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2</w:t>
            </w:r>
          </w:p>
        </w:tc>
        <w:tc>
          <w:tcPr>
            <w:tcW w:w="4617" w:type="dxa"/>
            <w:vAlign w:val="center"/>
          </w:tcPr>
          <w:p>
            <w:pPr>
              <w:tabs>
                <w:tab w:val="left" w:pos="4200"/>
              </w:tabs>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b w:val="0"/>
                <w:sz w:val="24"/>
                <w:szCs w:val="24"/>
              </w:rPr>
              <w:t>综合楼机房 艾默生精密空调</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PEX P2040FA(40KW)</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3</w:t>
            </w:r>
          </w:p>
        </w:tc>
        <w:tc>
          <w:tcPr>
            <w:tcW w:w="4617" w:type="dxa"/>
            <w:vAlign w:val="center"/>
          </w:tcPr>
          <w:p>
            <w:pPr>
              <w:tabs>
                <w:tab w:val="left" w:pos="4200"/>
              </w:tabs>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b w:val="0"/>
                <w:sz w:val="24"/>
                <w:szCs w:val="24"/>
              </w:rPr>
              <w:t>综合楼机房 APC动力环境监控</w:t>
            </w:r>
          </w:p>
        </w:tc>
        <w:tc>
          <w:tcPr>
            <w:tcW w:w="2733" w:type="dxa"/>
            <w:vAlign w:val="center"/>
          </w:tcPr>
          <w:p>
            <w:pPr>
              <w:tabs>
                <w:tab w:val="left" w:pos="4200"/>
              </w:tabs>
              <w:spacing w:line="360" w:lineRule="auto"/>
              <w:jc w:val="both"/>
              <w:rPr>
                <w:rFonts w:hint="default" w:ascii="Times New Roman" w:hAnsi="Times New Roman" w:cs="Times New Roman"/>
                <w:sz w:val="24"/>
                <w:szCs w:val="24"/>
                <w:vertAlign w:val="baseline"/>
              </w:rPr>
            </w:pP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4</w:t>
            </w:r>
          </w:p>
        </w:tc>
        <w:tc>
          <w:tcPr>
            <w:tcW w:w="4617" w:type="dxa"/>
            <w:vAlign w:val="center"/>
          </w:tcPr>
          <w:p>
            <w:pPr>
              <w:tabs>
                <w:tab w:val="left" w:pos="4200"/>
              </w:tabs>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b w:val="0"/>
                <w:sz w:val="24"/>
                <w:szCs w:val="24"/>
              </w:rPr>
              <w:t>综合楼机房 APC KVM系统</w:t>
            </w:r>
          </w:p>
        </w:tc>
        <w:tc>
          <w:tcPr>
            <w:tcW w:w="2733" w:type="dxa"/>
            <w:vAlign w:val="center"/>
          </w:tcPr>
          <w:p>
            <w:pPr>
              <w:tabs>
                <w:tab w:val="left" w:pos="4200"/>
              </w:tabs>
              <w:spacing w:line="360" w:lineRule="auto"/>
              <w:jc w:val="both"/>
              <w:rPr>
                <w:rFonts w:hint="default" w:ascii="Times New Roman" w:hAnsi="Times New Roman" w:cs="Times New Roman"/>
                <w:sz w:val="24"/>
                <w:szCs w:val="24"/>
                <w:vertAlign w:val="baseline"/>
              </w:rPr>
            </w:pP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5</w:t>
            </w:r>
          </w:p>
        </w:tc>
        <w:tc>
          <w:tcPr>
            <w:tcW w:w="4617" w:type="dxa"/>
            <w:vAlign w:val="center"/>
          </w:tcPr>
          <w:p>
            <w:pPr>
              <w:tabs>
                <w:tab w:val="left" w:pos="4200"/>
              </w:tabs>
              <w:spacing w:line="36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b w:val="0"/>
                <w:sz w:val="24"/>
                <w:szCs w:val="24"/>
              </w:rPr>
              <w:t>综合楼机房 配电系统</w:t>
            </w:r>
          </w:p>
        </w:tc>
        <w:tc>
          <w:tcPr>
            <w:tcW w:w="2733" w:type="dxa"/>
            <w:vAlign w:val="center"/>
          </w:tcPr>
          <w:p>
            <w:pPr>
              <w:tabs>
                <w:tab w:val="left" w:pos="4200"/>
              </w:tabs>
              <w:spacing w:line="360" w:lineRule="auto"/>
              <w:jc w:val="both"/>
              <w:rPr>
                <w:rFonts w:hint="default" w:ascii="Times New Roman" w:hAnsi="Times New Roman" w:cs="Times New Roman"/>
                <w:sz w:val="24"/>
                <w:szCs w:val="24"/>
                <w:vertAlign w:val="baseline"/>
              </w:rPr>
            </w:pP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6</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综合楼地下二层  艾默生UPS</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160KVA</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7</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综合楼地下二层 克莱门特精密空调</w:t>
            </w:r>
          </w:p>
        </w:tc>
        <w:tc>
          <w:tcPr>
            <w:tcW w:w="2733" w:type="dxa"/>
            <w:vAlign w:val="center"/>
          </w:tcPr>
          <w:p>
            <w:pPr>
              <w:widowControl/>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SAF013/1*C17(13KW)</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8</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容灾机房 APC UPS</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SY12K16H（12KVA）</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9</w:t>
            </w:r>
          </w:p>
        </w:tc>
        <w:tc>
          <w:tcPr>
            <w:tcW w:w="4617" w:type="dxa"/>
            <w:vAlign w:val="center"/>
          </w:tcPr>
          <w:p>
            <w:pPr>
              <w:tabs>
                <w:tab w:val="left" w:pos="4200"/>
              </w:tabs>
              <w:spacing w:line="360" w:lineRule="auto"/>
              <w:jc w:val="both"/>
              <w:rPr>
                <w:rFonts w:hint="default" w:ascii="Times New Roman" w:hAnsi="Times New Roman" w:cs="Times New Roman"/>
                <w:sz w:val="24"/>
                <w:szCs w:val="24"/>
                <w:vertAlign w:val="baseline"/>
              </w:rPr>
            </w:pPr>
            <w:r>
              <w:rPr>
                <w:rFonts w:hint="default" w:ascii="Times New Roman" w:hAnsi="Times New Roman" w:cs="Times New Roman"/>
                <w:b w:val="0"/>
                <w:sz w:val="24"/>
                <w:szCs w:val="24"/>
              </w:rPr>
              <w:t>容灾机房 克莱门特精密空调</w:t>
            </w:r>
          </w:p>
        </w:tc>
        <w:tc>
          <w:tcPr>
            <w:tcW w:w="2733" w:type="dxa"/>
            <w:vAlign w:val="center"/>
          </w:tcPr>
          <w:p>
            <w:pPr>
              <w:widowControl/>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SAF020/1*C24(20KW)</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10</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门诊负一楼机房山特UPS</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3C3-40KS(40KVA)</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97" w:hRule="atLeast"/>
        </w:trPr>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11</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行政楼电工房弱电间用 山特UPS</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3C10KS(10KVA)</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12</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北院8楼中心机房RC精密空调</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43.6KW</w:t>
            </w:r>
            <w:bookmarkStart w:id="0" w:name="_GoBack"/>
            <w:bookmarkEnd w:id="0"/>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13</w:t>
            </w:r>
          </w:p>
        </w:tc>
        <w:tc>
          <w:tcPr>
            <w:tcW w:w="4617" w:type="dxa"/>
            <w:vAlign w:val="center"/>
          </w:tcPr>
          <w:p>
            <w:pPr>
              <w:tabs>
                <w:tab w:val="left" w:pos="4200"/>
              </w:tabs>
              <w:spacing w:line="360" w:lineRule="auto"/>
              <w:jc w:val="both"/>
              <w:rPr>
                <w:rFonts w:hint="default" w:ascii="Times New Roman" w:hAnsi="Times New Roman" w:cs="Times New Roman"/>
                <w:sz w:val="24"/>
                <w:szCs w:val="24"/>
                <w:vertAlign w:val="baseline"/>
              </w:rPr>
            </w:pPr>
            <w:r>
              <w:rPr>
                <w:rFonts w:hint="default" w:ascii="Times New Roman" w:hAnsi="Times New Roman" w:cs="Times New Roman"/>
                <w:b w:val="0"/>
                <w:sz w:val="24"/>
                <w:szCs w:val="24"/>
              </w:rPr>
              <w:t>北院8楼中心机房RC精密空调</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21KW</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33" w:type="dxa"/>
          </w:tcPr>
          <w:p>
            <w:pPr>
              <w:jc w:val="center"/>
              <w:rPr>
                <w:rFonts w:hint="default"/>
                <w:sz w:val="28"/>
                <w:szCs w:val="28"/>
                <w:vertAlign w:val="baseline"/>
                <w:lang w:val="en-US" w:eastAsia="zh-CN"/>
              </w:rPr>
            </w:pPr>
            <w:r>
              <w:rPr>
                <w:rFonts w:hint="eastAsia"/>
                <w:sz w:val="28"/>
                <w:szCs w:val="28"/>
                <w:vertAlign w:val="baseline"/>
                <w:lang w:val="en-US" w:eastAsia="zh-CN"/>
              </w:rPr>
              <w:t>14</w:t>
            </w:r>
          </w:p>
        </w:tc>
        <w:tc>
          <w:tcPr>
            <w:tcW w:w="4617"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北院A楼B层机房精密空调</w:t>
            </w:r>
          </w:p>
        </w:tc>
        <w:tc>
          <w:tcPr>
            <w:tcW w:w="2733" w:type="dxa"/>
            <w:vAlign w:val="center"/>
          </w:tcPr>
          <w:p>
            <w:pPr>
              <w:tabs>
                <w:tab w:val="left" w:pos="4200"/>
              </w:tabs>
              <w:spacing w:line="360" w:lineRule="auto"/>
              <w:jc w:val="both"/>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b w:val="0"/>
                <w:sz w:val="24"/>
                <w:szCs w:val="24"/>
              </w:rPr>
              <w:t>DME12.5KW</w:t>
            </w:r>
          </w:p>
        </w:tc>
        <w:tc>
          <w:tcPr>
            <w:tcW w:w="80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r>
    </w:tbl>
    <w:p>
      <w:pPr>
        <w:rPr>
          <w:rFonts w:hint="eastAsia"/>
          <w:sz w:val="31"/>
          <w:szCs w:val="31"/>
        </w:rPr>
      </w:pPr>
    </w:p>
    <w:p>
      <w:pPr>
        <w:rPr>
          <w:rFonts w:hint="default" w:eastAsiaTheme="minorEastAsia"/>
          <w:sz w:val="31"/>
          <w:szCs w:val="31"/>
          <w:lang w:val="en-US" w:eastAsia="zh-CN"/>
        </w:rPr>
      </w:pPr>
      <w:r>
        <w:rPr>
          <w:rFonts w:hint="eastAsia"/>
          <w:sz w:val="31"/>
          <w:szCs w:val="31"/>
        </w:rPr>
        <w:t>二、</w:t>
      </w:r>
      <w:r>
        <w:rPr>
          <w:rFonts w:hint="eastAsia"/>
          <w:sz w:val="31"/>
          <w:szCs w:val="31"/>
          <w:lang w:val="en-US" w:eastAsia="zh-CN"/>
        </w:rPr>
        <w:t>维保要求</w:t>
      </w:r>
    </w:p>
    <w:p>
      <w:pPr>
        <w:ind w:firstLine="620"/>
        <w:rPr>
          <w:rFonts w:hint="default" w:eastAsiaTheme="minorEastAsia"/>
          <w:color w:val="auto"/>
          <w:sz w:val="31"/>
          <w:szCs w:val="31"/>
          <w:highlight w:val="none"/>
          <w:lang w:val="en-US" w:eastAsia="zh-CN"/>
        </w:rPr>
      </w:pPr>
      <w:r>
        <w:rPr>
          <w:rFonts w:hint="eastAsia"/>
          <w:color w:val="auto"/>
          <w:sz w:val="31"/>
          <w:szCs w:val="31"/>
        </w:rPr>
        <w:t>1、</w:t>
      </w:r>
      <w:r>
        <w:rPr>
          <w:rFonts w:hint="eastAsia"/>
          <w:color w:val="auto"/>
          <w:sz w:val="31"/>
          <w:szCs w:val="31"/>
          <w:highlight w:val="none"/>
          <w:lang w:val="en-US" w:eastAsia="zh-CN"/>
        </w:rPr>
        <w:t>提供每年至少6次主动定期巡检、预防性保养（含环境整理），确保设备安全、稳定运行，并有详细的维护保养情况记录表。</w:t>
      </w:r>
    </w:p>
    <w:p>
      <w:pPr>
        <w:ind w:firstLine="620"/>
        <w:rPr>
          <w:rFonts w:hint="default"/>
          <w:color w:val="auto"/>
          <w:sz w:val="31"/>
          <w:szCs w:val="31"/>
          <w:highlight w:val="none"/>
          <w:lang w:val="en-US" w:eastAsia="zh-CN"/>
        </w:rPr>
      </w:pPr>
      <w:r>
        <w:rPr>
          <w:rFonts w:hint="eastAsia"/>
          <w:color w:val="auto"/>
          <w:sz w:val="31"/>
          <w:szCs w:val="31"/>
          <w:highlight w:val="none"/>
        </w:rPr>
        <w:t>2、</w:t>
      </w:r>
      <w:r>
        <w:rPr>
          <w:rFonts w:hint="eastAsia"/>
          <w:color w:val="auto"/>
          <w:sz w:val="31"/>
          <w:szCs w:val="31"/>
          <w:highlight w:val="none"/>
          <w:lang w:val="en-US" w:eastAsia="zh-CN"/>
        </w:rPr>
        <w:t>维护半年时和维护期结束前需出具年度维保工作总结和相关可行性建议。</w:t>
      </w:r>
    </w:p>
    <w:p>
      <w:pPr>
        <w:ind w:firstLine="620"/>
        <w:rPr>
          <w:rFonts w:hint="eastAsia"/>
          <w:color w:val="auto"/>
          <w:sz w:val="31"/>
          <w:szCs w:val="31"/>
          <w:highlight w:val="none"/>
          <w:lang w:val="en-US" w:eastAsia="zh-CN"/>
        </w:rPr>
      </w:pPr>
      <w:r>
        <w:rPr>
          <w:rFonts w:hint="eastAsia"/>
          <w:color w:val="auto"/>
          <w:sz w:val="31"/>
          <w:szCs w:val="31"/>
          <w:highlight w:val="none"/>
        </w:rPr>
        <w:t>3、</w:t>
      </w:r>
      <w:r>
        <w:rPr>
          <w:rFonts w:hint="eastAsia"/>
          <w:color w:val="auto"/>
          <w:sz w:val="31"/>
          <w:szCs w:val="31"/>
          <w:highlight w:val="none"/>
          <w:lang w:val="en-US" w:eastAsia="zh-CN"/>
        </w:rPr>
        <w:t>全年7*24小时故障报修响应，在接到故障通知后，10分钟内须给予明确的答复，并在30分钟内赶到现场，24小时内解决故障，24小时内不能修复的提供备机直到修复。</w:t>
      </w:r>
    </w:p>
    <w:p>
      <w:pPr>
        <w:ind w:firstLine="620"/>
        <w:rPr>
          <w:rFonts w:hint="eastAsia"/>
          <w:color w:val="auto"/>
          <w:sz w:val="31"/>
          <w:szCs w:val="31"/>
          <w:highlight w:val="none"/>
          <w:lang w:val="en-US" w:eastAsia="zh-CN"/>
        </w:rPr>
      </w:pPr>
      <w:r>
        <w:rPr>
          <w:rFonts w:hint="eastAsia"/>
          <w:color w:val="auto"/>
          <w:sz w:val="31"/>
          <w:szCs w:val="31"/>
          <w:highlight w:val="none"/>
          <w:lang w:val="en-US" w:eastAsia="zh-CN"/>
        </w:rPr>
        <w:t>4、故障备件另外收费，投标时需一并提供各相关配件价格。</w:t>
      </w:r>
    </w:p>
    <w:p>
      <w:pPr>
        <w:ind w:firstLine="620"/>
        <w:rPr>
          <w:rFonts w:hint="eastAsia"/>
          <w:color w:val="auto"/>
          <w:sz w:val="31"/>
          <w:szCs w:val="31"/>
          <w:highlight w:val="none"/>
          <w:lang w:val="en-US" w:eastAsia="zh-CN"/>
        </w:rPr>
      </w:pPr>
      <w:r>
        <w:rPr>
          <w:rFonts w:hint="eastAsia"/>
          <w:color w:val="auto"/>
          <w:sz w:val="31"/>
          <w:szCs w:val="31"/>
          <w:highlight w:val="none"/>
          <w:lang w:val="en-US" w:eastAsia="zh-CN"/>
        </w:rPr>
        <w:t>5、维保投标单位必须充分了解本院设备的分布和使用情况，投标前务必做好相关调研工作。</w:t>
      </w:r>
    </w:p>
    <w:p>
      <w:pPr>
        <w:ind w:firstLine="620"/>
        <w:rPr>
          <w:rFonts w:hint="eastAsia"/>
          <w:color w:val="auto"/>
          <w:sz w:val="31"/>
          <w:szCs w:val="31"/>
          <w:highlight w:val="none"/>
          <w:lang w:val="en-US" w:eastAsia="zh-CN"/>
        </w:rPr>
      </w:pPr>
      <w:r>
        <w:rPr>
          <w:rFonts w:hint="eastAsia"/>
          <w:color w:val="auto"/>
          <w:sz w:val="31"/>
          <w:szCs w:val="31"/>
          <w:highlight w:val="none"/>
          <w:lang w:val="en-US" w:eastAsia="zh-CN"/>
        </w:rPr>
        <w:t>6、每逢节假日前须做预防性巡检，并确保节假日期间出现故障时维护人员的及时响应和处理。</w:t>
      </w:r>
    </w:p>
    <w:p>
      <w:pPr>
        <w:ind w:firstLine="620"/>
        <w:rPr>
          <w:rFonts w:hint="eastAsia"/>
          <w:color w:val="auto"/>
          <w:sz w:val="31"/>
          <w:szCs w:val="31"/>
          <w:highlight w:val="none"/>
          <w:lang w:val="en-US" w:eastAsia="zh-CN"/>
        </w:rPr>
      </w:pPr>
      <w:r>
        <w:rPr>
          <w:rFonts w:hint="eastAsia"/>
          <w:color w:val="auto"/>
          <w:sz w:val="31"/>
          <w:szCs w:val="31"/>
          <w:highlight w:val="none"/>
          <w:lang w:val="en-US" w:eastAsia="zh-CN"/>
        </w:rPr>
        <w:t>7、临时性指派的配合工作必须积极响应，并全力配合，不能推脱。</w:t>
      </w:r>
    </w:p>
    <w:p>
      <w:pPr>
        <w:ind w:firstLine="620"/>
        <w:rPr>
          <w:sz w:val="31"/>
          <w:szCs w:val="31"/>
        </w:rPr>
      </w:pPr>
      <w:r>
        <w:rPr>
          <w:rFonts w:hint="eastAsia"/>
          <w:color w:val="auto"/>
          <w:sz w:val="31"/>
          <w:szCs w:val="31"/>
          <w:highlight w:val="none"/>
          <w:lang w:val="en-US" w:eastAsia="zh-CN"/>
        </w:rPr>
        <w:t>8、维保投标单位若注册地非无锡，需承诺中标后安排常驻无锡地区维护人员。</w:t>
      </w:r>
    </w:p>
    <w:p>
      <w:pPr>
        <w:rPr>
          <w:sz w:val="31"/>
          <w:szCs w:val="31"/>
        </w:rPr>
      </w:pPr>
    </w:p>
    <w:p>
      <w:pPr>
        <w:jc w:val="right"/>
        <w:rPr>
          <w:sz w:val="31"/>
          <w:szCs w:val="31"/>
        </w:rPr>
      </w:pPr>
      <w:r>
        <w:rPr>
          <w:rFonts w:hint="eastAsia"/>
          <w:sz w:val="31"/>
          <w:szCs w:val="31"/>
        </w:rPr>
        <w:t>    无锡市第二人民医院</w:t>
      </w:r>
    </w:p>
    <w:p>
      <w:pPr>
        <w:jc w:val="right"/>
        <w:rPr>
          <w:sz w:val="31"/>
          <w:szCs w:val="31"/>
        </w:rPr>
      </w:pPr>
      <w:r>
        <w:rPr>
          <w:rFonts w:hint="eastAsia"/>
          <w:sz w:val="31"/>
          <w:szCs w:val="31"/>
        </w:rPr>
        <w:t>       2023年</w:t>
      </w:r>
      <w:r>
        <w:rPr>
          <w:rFonts w:hint="eastAsia"/>
          <w:sz w:val="31"/>
          <w:szCs w:val="31"/>
          <w:lang w:val="en-US" w:eastAsia="zh-CN"/>
        </w:rPr>
        <w:t>8</w:t>
      </w:r>
      <w:r>
        <w:rPr>
          <w:rFonts w:hint="eastAsia"/>
          <w:sz w:val="31"/>
          <w:szCs w:val="31"/>
        </w:rPr>
        <w:t>月</w:t>
      </w:r>
      <w:r>
        <w:rPr>
          <w:rFonts w:hint="eastAsia"/>
          <w:sz w:val="31"/>
          <w:szCs w:val="31"/>
          <w:lang w:val="en-US" w:eastAsia="zh-CN"/>
        </w:rPr>
        <w:t>10</w:t>
      </w:r>
      <w:r>
        <w:rPr>
          <w:rFonts w:hint="eastAsia"/>
          <w:sz w:val="31"/>
          <w:szCs w:val="31"/>
        </w:rPr>
        <w:t>日</w:t>
      </w:r>
    </w:p>
    <w:p>
      <w:pPr>
        <w:rPr>
          <w:sz w:val="31"/>
          <w:szCs w:val="31"/>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QwNzIwZTFmNjljMzk5Yzg2ZjBkYzMxMDM4OTAwY2QifQ=="/>
  </w:docVars>
  <w:rsids>
    <w:rsidRoot w:val="006D1C8A"/>
    <w:rsid w:val="002306BC"/>
    <w:rsid w:val="003963CB"/>
    <w:rsid w:val="00404610"/>
    <w:rsid w:val="006D1C8A"/>
    <w:rsid w:val="007C6BCE"/>
    <w:rsid w:val="00820E62"/>
    <w:rsid w:val="00925DD8"/>
    <w:rsid w:val="00BF69AE"/>
    <w:rsid w:val="00C5179A"/>
    <w:rsid w:val="00D30A47"/>
    <w:rsid w:val="00D501D5"/>
    <w:rsid w:val="00EF7950"/>
    <w:rsid w:val="00FD4490"/>
    <w:rsid w:val="07BC4304"/>
    <w:rsid w:val="08205B7D"/>
    <w:rsid w:val="08BD177C"/>
    <w:rsid w:val="0E833DCE"/>
    <w:rsid w:val="14610327"/>
    <w:rsid w:val="16B70AB9"/>
    <w:rsid w:val="183A374F"/>
    <w:rsid w:val="1B083F71"/>
    <w:rsid w:val="1FA838CB"/>
    <w:rsid w:val="24F9229C"/>
    <w:rsid w:val="27A13526"/>
    <w:rsid w:val="29F37C02"/>
    <w:rsid w:val="2B2D4A4E"/>
    <w:rsid w:val="31F508B2"/>
    <w:rsid w:val="36592B9B"/>
    <w:rsid w:val="3C8F5505"/>
    <w:rsid w:val="3E102BE3"/>
    <w:rsid w:val="42843695"/>
    <w:rsid w:val="44801C3A"/>
    <w:rsid w:val="44A10863"/>
    <w:rsid w:val="45633A36"/>
    <w:rsid w:val="47F210A1"/>
    <w:rsid w:val="4A050C18"/>
    <w:rsid w:val="4A366C84"/>
    <w:rsid w:val="4CBC238D"/>
    <w:rsid w:val="4E5C5A57"/>
    <w:rsid w:val="4E6A7BE3"/>
    <w:rsid w:val="5023629C"/>
    <w:rsid w:val="51CA3E2C"/>
    <w:rsid w:val="5A8E07B6"/>
    <w:rsid w:val="60E54495"/>
    <w:rsid w:val="63801B36"/>
    <w:rsid w:val="64634BE2"/>
    <w:rsid w:val="65A610A9"/>
    <w:rsid w:val="68EC771B"/>
    <w:rsid w:val="6BC73B27"/>
    <w:rsid w:val="6C240F7A"/>
    <w:rsid w:val="738B082F"/>
    <w:rsid w:val="74D177C5"/>
    <w:rsid w:val="79E85CDC"/>
    <w:rsid w:val="7A3D5796"/>
    <w:rsid w:val="7DE84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3"/>
    <w:qFormat/>
    <w:uiPriority w:val="0"/>
    <w:rPr>
      <w:rFonts w:asciiTheme="minorHAnsi" w:hAnsiTheme="minorHAnsi" w:eastAsiaTheme="minorEastAsia" w:cstheme="minorBidi"/>
      <w:kern w:val="2"/>
      <w:sz w:val="18"/>
      <w:szCs w:val="18"/>
    </w:rPr>
  </w:style>
  <w:style w:type="character" w:customStyle="1" w:styleId="11">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自定义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82037-B295-4730-B3A9-1EC9FFFF13D9}">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598</Words>
  <Characters>761</Characters>
  <Lines>9</Lines>
  <Paragraphs>2</Paragraphs>
  <TotalTime>1</TotalTime>
  <ScaleCrop>false</ScaleCrop>
  <LinksUpToDate>false</LinksUpToDate>
  <CharactersWithSpaces>791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2023-03-08T10:37:00Z</dcterms:created>
  <dc:creator>Administrator.PC-20230210ALSZ</dc:creator>
  <cp:lastModifiedBy>hss0632</cp:lastModifiedBy>
  <dcterms:modified xsi:type="dcterms:W3CDTF">2023-08-10T09:12:02Z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CDDB65DBAF444B1FB1C88C57CF104971</vt:lpwstr>
  </property>
</Properties>
</file>